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6723" w:rsidRDefault="00046723" w:rsidP="00046723">
      <w:pPr>
        <w:jc w:val="center"/>
        <w:rPr>
          <w:b/>
        </w:rPr>
      </w:pPr>
      <w:r>
        <w:rPr>
          <w:rFonts w:hint="eastAsia"/>
          <w:b/>
        </w:rPr>
        <w:t>D</w:t>
      </w:r>
      <w:r>
        <w:rPr>
          <w:b/>
        </w:rPr>
        <w:t>evelopment of user-friendly web-based R-shiny platform to predict human organ clearance using in-vitro/in-vivo extrapolation</w:t>
      </w:r>
    </w:p>
    <w:p w:rsidR="00046723" w:rsidRDefault="00046723" w:rsidP="00046723">
      <w:pPr>
        <w:jc w:val="center"/>
        <w:rPr>
          <w:b/>
        </w:rPr>
      </w:pPr>
      <w:r>
        <w:rPr>
          <w:b/>
        </w:rPr>
        <w:t xml:space="preserve">College of pharmacy, </w:t>
      </w:r>
      <w:proofErr w:type="spellStart"/>
      <w:r>
        <w:rPr>
          <w:b/>
        </w:rPr>
        <w:t>Chungnam</w:t>
      </w:r>
      <w:proofErr w:type="spellEnd"/>
      <w:r>
        <w:rPr>
          <w:b/>
        </w:rPr>
        <w:t xml:space="preserve"> National University, Korea</w:t>
      </w:r>
    </w:p>
    <w:p w:rsidR="00046723" w:rsidRDefault="00046723" w:rsidP="00046723">
      <w:pPr>
        <w:jc w:val="center"/>
      </w:pPr>
      <w:r w:rsidRPr="00D33A0A">
        <w:t xml:space="preserve">Chung </w:t>
      </w:r>
      <w:proofErr w:type="spellStart"/>
      <w:r w:rsidRPr="00D33A0A">
        <w:t>Hee</w:t>
      </w:r>
      <w:proofErr w:type="spellEnd"/>
      <w:r w:rsidRPr="00D33A0A">
        <w:t xml:space="preserve"> Lee, Woo </w:t>
      </w:r>
      <w:proofErr w:type="spellStart"/>
      <w:r w:rsidRPr="00D33A0A">
        <w:t>Jin</w:t>
      </w:r>
      <w:proofErr w:type="spellEnd"/>
      <w:r w:rsidRPr="00D33A0A">
        <w:t xml:space="preserve"> Jung, </w:t>
      </w:r>
      <w:proofErr w:type="spellStart"/>
      <w:r w:rsidRPr="00D33A0A">
        <w:t>Seon</w:t>
      </w:r>
      <w:proofErr w:type="spellEnd"/>
      <w:r w:rsidRPr="00D33A0A">
        <w:t xml:space="preserve"> Jong Park, </w:t>
      </w:r>
      <w:proofErr w:type="spellStart"/>
      <w:r w:rsidRPr="00D33A0A">
        <w:t>Thi</w:t>
      </w:r>
      <w:proofErr w:type="spellEnd"/>
      <w:r w:rsidRPr="00D33A0A">
        <w:t xml:space="preserve"> Quyen Tran, </w:t>
      </w:r>
      <w:proofErr w:type="spellStart"/>
      <w:r w:rsidRPr="00D33A0A">
        <w:t>Thi</w:t>
      </w:r>
      <w:proofErr w:type="spellEnd"/>
      <w:r w:rsidRPr="00D33A0A">
        <w:t xml:space="preserve"> Lien Ngo, Sung Yoon Yang,</w:t>
      </w:r>
      <w:r>
        <w:t xml:space="preserve"> </w:t>
      </w:r>
      <w:r w:rsidRPr="00D33A0A">
        <w:t xml:space="preserve">Jung-Woo </w:t>
      </w:r>
      <w:proofErr w:type="spellStart"/>
      <w:r w:rsidRPr="00D33A0A">
        <w:t>Chae</w:t>
      </w:r>
      <w:proofErr w:type="spellEnd"/>
      <w:r w:rsidRPr="00D33A0A">
        <w:t xml:space="preserve">*, </w:t>
      </w:r>
      <w:proofErr w:type="spellStart"/>
      <w:r w:rsidRPr="00D33A0A">
        <w:t>Hwi-yeol</w:t>
      </w:r>
      <w:proofErr w:type="spellEnd"/>
      <w:r w:rsidRPr="00D33A0A">
        <w:t xml:space="preserve"> Yun* </w:t>
      </w:r>
    </w:p>
    <w:p w:rsidR="00046723" w:rsidRPr="00D93B7F" w:rsidRDefault="00046723" w:rsidP="00046723">
      <w:pPr>
        <w:rPr>
          <w:rFonts w:hint="eastAsia"/>
        </w:rPr>
      </w:pPr>
      <w:r>
        <w:rPr>
          <w:b/>
        </w:rPr>
        <w:t>Objectives:</w:t>
      </w:r>
      <w:r w:rsidRPr="00B56956">
        <w:t xml:space="preserve"> </w:t>
      </w:r>
      <w:r w:rsidRPr="008F46EB">
        <w:rPr>
          <w:i/>
        </w:rPr>
        <w:t>In vitro–in vivo</w:t>
      </w:r>
      <w:r>
        <w:t xml:space="preserve"> extrapolation(</w:t>
      </w:r>
      <w:r>
        <w:rPr>
          <w:rFonts w:hint="eastAsia"/>
        </w:rPr>
        <w:t>I</w:t>
      </w:r>
      <w:r>
        <w:t xml:space="preserve">VIVE) is the process by which organ clearance is scaled up using </w:t>
      </w:r>
      <w:r w:rsidRPr="008F46EB">
        <w:rPr>
          <w:i/>
        </w:rPr>
        <w:t>in vitro</w:t>
      </w:r>
      <w:r>
        <w:t xml:space="preserve"> data.</w:t>
      </w:r>
      <w:r w:rsidRPr="00624C63">
        <w:rPr>
          <w:vertAlign w:val="superscript"/>
        </w:rPr>
        <w:fldChar w:fldCharType="begin"/>
      </w:r>
      <w:r w:rsidRPr="00624C63">
        <w:rPr>
          <w:vertAlign w:val="superscript"/>
        </w:rPr>
        <w:instrText xml:space="preserve"> ADDIN EN.CITE &lt;EndNote&gt;&lt;Cite&gt;&lt;Author&gt;Khojasteh&lt;/Author&gt;&lt;Year&gt;2011&lt;/Year&gt;&lt;RecNum&gt;2&lt;/RecNum&gt;&lt;DisplayText&gt;[1]&lt;/DisplayText&gt;&lt;record&gt;&lt;rec-number&gt;2&lt;/rec-number&gt;&lt;foreign-keys&gt;&lt;key app="EN" db-id="szwd5t0adfdfz0ewxr6xxe01sxp5sv5axe2x" timestamp="1582855767"&gt;2&lt;/key&gt;&lt;/foreign-keys&gt;&lt;ref-type name="Book"&gt;6&lt;/ref-type&gt;&lt;contributors&gt;&lt;authors&gt;&lt;author&gt;Khojasteh, Siamak Cyrus&lt;/author&gt;&lt;author&gt;Wong, Harvey&lt;/author&gt;&lt;author&gt;Hop, Cornelis ECA&lt;/author&gt;&lt;/authors&gt;&lt;/contributors&gt;&lt;titles&gt;&lt;title&gt;Drug metabolism and pharmacokinetics quick guide&lt;/title&gt;&lt;/titles&gt;&lt;dates&gt;&lt;year&gt;2011&lt;/year&gt;&lt;/dates&gt;&lt;publisher&gt;Springer Science &amp;amp; Business Media&lt;/publisher&gt;&lt;isbn&gt;1441956298&lt;/isbn&gt;&lt;urls&gt;&lt;/urls&gt;&lt;/record&gt;&lt;/Cite&gt;&lt;/EndNote&gt;</w:instrText>
      </w:r>
      <w:r w:rsidRPr="00624C63">
        <w:rPr>
          <w:vertAlign w:val="superscript"/>
        </w:rPr>
        <w:fldChar w:fldCharType="separate"/>
      </w:r>
      <w:r w:rsidRPr="00624C63">
        <w:rPr>
          <w:noProof/>
          <w:vertAlign w:val="superscript"/>
        </w:rPr>
        <w:t>[1]</w:t>
      </w:r>
      <w:r w:rsidRPr="00624C63">
        <w:rPr>
          <w:vertAlign w:val="superscript"/>
        </w:rPr>
        <w:fldChar w:fldCharType="end"/>
      </w:r>
      <w:r>
        <w:t xml:space="preserve"> IVIVE approaches was based on physiologically based scaling approaches, d</w:t>
      </w:r>
      <w:r w:rsidRPr="00466B4D">
        <w:t xml:space="preserve">ifferent </w:t>
      </w:r>
      <w:r>
        <w:t xml:space="preserve">with </w:t>
      </w:r>
      <w:r w:rsidRPr="00466B4D">
        <w:t>empirical allometric scaling approaches</w:t>
      </w:r>
      <w:r>
        <w:t>, so many of researchers was used it to predict systemic exposure with in-vitro drum metabolism and pharmacokinetic studies.</w:t>
      </w:r>
      <w:r w:rsidRPr="00624C63">
        <w:rPr>
          <w:vertAlign w:val="superscript"/>
        </w:rPr>
        <w:fldChar w:fldCharType="begin"/>
      </w:r>
      <w:r w:rsidRPr="00624C63">
        <w:rPr>
          <w:vertAlign w:val="superscript"/>
        </w:rPr>
        <w:instrText xml:space="preserve"> ADDIN EN.CITE &lt;EndNote&gt;&lt;Cite&gt;&lt;Author&gt;Zou&lt;/Author&gt;&lt;Year&gt;2012&lt;/Year&gt;&lt;RecNum&gt;1&lt;/RecNum&gt;&lt;DisplayText&gt;[2]&lt;/DisplayText&gt;&lt;record&gt;&lt;rec-number&gt;1&lt;/rec-number&gt;&lt;foreign-keys&gt;&lt;key app="EN" db-id="szwd5t0adfdfz0ewxr6xxe01sxp5sv5axe2x" timestamp="1582855336"&gt;1&lt;/key&gt;&lt;/foreign-keys&gt;&lt;ref-type name="Journal Article"&gt;17&lt;/ref-type&gt;&lt;contributors&gt;&lt;authors&gt;&lt;author&gt;Zou, P.&lt;/author&gt;&lt;author&gt;Yu, Y.&lt;/author&gt;&lt;author&gt;Zheng, N.&lt;/author&gt;&lt;author&gt;Yang, Y.&lt;/author&gt;&lt;author&gt;Paholak, H. J.&lt;/author&gt;&lt;author&gt;Yu, L. X.&lt;/author&gt;&lt;author&gt;Sun, D.&lt;/author&gt;&lt;/authors&gt;&lt;/contributors&gt;&lt;auth-address&gt;Department of Pharmaceutical Sciences, College of Pharmacy, University of Michigan, 428 Church Street, Ann Arbor, Michigan 48109, USA.&lt;/auth-address&gt;&lt;titles&gt;&lt;title&gt;Applications of human pharmacokinetic prediction in first-in-human dose estimation&lt;/title&gt;&lt;secondary-title&gt;AAPS J&lt;/secondary-title&gt;&lt;/titles&gt;&lt;periodical&gt;&lt;full-title&gt;AAPS J&lt;/full-title&gt;&lt;/periodical&gt;&lt;pages&gt;262-81&lt;/pages&gt;&lt;volume&gt;14&lt;/volume&gt;&lt;number&gt;2&lt;/number&gt;&lt;edition&gt;2012/03/13&lt;/edition&gt;&lt;keywords&gt;&lt;keyword&gt;Animals&lt;/keyword&gt;&lt;keyword&gt;Dose-Response Relationship, Drug&lt;/keyword&gt;&lt;keyword&gt;Forecasting&lt;/keyword&gt;&lt;keyword&gt;Humans&lt;/keyword&gt;&lt;keyword&gt;Metabolic Clearance Rate/drug effects/physiology&lt;/keyword&gt;&lt;keyword&gt;Pharmaceutical Preparations/*administration &amp;amp; dosage/*metabolism&lt;/keyword&gt;&lt;keyword&gt;Protein Binding/physiology&lt;/keyword&gt;&lt;keyword&gt;Species Specificity&lt;/keyword&gt;&lt;keyword&gt;Tissue Distribution/drug effects/physiology&lt;/keyword&gt;&lt;/keywords&gt;&lt;dates&gt;&lt;year&gt;2012&lt;/year&gt;&lt;pub-dates&gt;&lt;date&gt;Jun&lt;/date&gt;&lt;/pub-dates&gt;&lt;/dates&gt;&lt;isbn&gt;1550-7416 (Electronic)&amp;#xD;1550-7416 (Linking)&lt;/isbn&gt;&lt;accession-num&gt;22407287&lt;/accession-num&gt;&lt;urls&gt;&lt;related-urls&gt;&lt;url&gt;https://www.ncbi.nlm.nih.gov/pubmed/22407287&lt;/url&gt;&lt;/related-urls&gt;&lt;/urls&gt;&lt;custom2&gt;PMC3326168&lt;/custom2&gt;&lt;electronic-resource-num&gt;10.1208/s12248-012-9332-y&lt;/electronic-resource-num&gt;&lt;/record&gt;&lt;/Cite&gt;&lt;/EndNote&gt;</w:instrText>
      </w:r>
      <w:r w:rsidRPr="00624C63">
        <w:rPr>
          <w:vertAlign w:val="superscript"/>
        </w:rPr>
        <w:fldChar w:fldCharType="separate"/>
      </w:r>
      <w:r w:rsidRPr="00624C63">
        <w:rPr>
          <w:noProof/>
          <w:vertAlign w:val="superscript"/>
        </w:rPr>
        <w:t>[2]</w:t>
      </w:r>
      <w:r w:rsidRPr="00624C63">
        <w:rPr>
          <w:vertAlign w:val="superscript"/>
        </w:rPr>
        <w:fldChar w:fldCharType="end"/>
      </w:r>
      <w:r>
        <w:t xml:space="preserve"> Nevertheless of its advantages, </w:t>
      </w:r>
      <w:r w:rsidRPr="00B56956">
        <w:t>the process can be cumbersome, and there are also various assumptions about that.</w:t>
      </w:r>
      <w:r>
        <w:t xml:space="preserve"> This study is to develop user-friendly IVIVE platform using R shiny and confirm performance to predict organ clearance in comparison with real clearance.</w:t>
      </w:r>
    </w:p>
    <w:p w:rsidR="004E50FC" w:rsidRDefault="00046723" w:rsidP="00046723">
      <w:pPr>
        <w:pStyle w:val="2"/>
        <w:rPr>
          <w:rFonts w:eastAsiaTheme="minorHAnsi"/>
          <w:szCs w:val="20"/>
        </w:rPr>
      </w:pPr>
      <w:r>
        <w:rPr>
          <w:rFonts w:hint="eastAsia"/>
          <w:b/>
        </w:rPr>
        <w:t>M</w:t>
      </w:r>
      <w:r>
        <w:rPr>
          <w:b/>
        </w:rPr>
        <w:t xml:space="preserve">ethods: </w:t>
      </w:r>
      <w:r w:rsidRPr="00B56956">
        <w:rPr>
          <w:rFonts w:eastAsiaTheme="minorHAnsi"/>
          <w:szCs w:val="20"/>
        </w:rPr>
        <w:t>The IVIVE approaches established to date have been obtained from the reference literature.</w:t>
      </w:r>
      <w:r w:rsidRPr="00A90D7F">
        <w:rPr>
          <w:rFonts w:eastAsiaTheme="minorHAnsi"/>
          <w:szCs w:val="20"/>
          <w:vertAlign w:val="superscript"/>
        </w:rPr>
        <w:fldChar w:fldCharType="begin"/>
      </w:r>
      <w:r w:rsidRPr="00A90D7F">
        <w:rPr>
          <w:rFonts w:eastAsiaTheme="minorHAnsi"/>
          <w:szCs w:val="20"/>
          <w:vertAlign w:val="superscript"/>
        </w:rPr>
        <w:instrText xml:space="preserve"> ADDIN EN.CITE &lt;EndNote&gt;&lt;Cite&gt;&lt;Author&gt;Zou&lt;/Author&gt;&lt;Year&gt;2012&lt;/Year&gt;&lt;RecNum&gt;1&lt;/RecNum&gt;&lt;DisplayText&gt;[2]&lt;/DisplayText&gt;&lt;record&gt;&lt;rec-number&gt;1&lt;/rec-number&gt;&lt;foreign-keys&gt;&lt;key app="EN" db-id="szwd5t0adfdfz0ewxr6xxe01sxp5sv5axe2x" timestamp="1582855336"&gt;1&lt;/key&gt;&lt;/foreign-keys&gt;&lt;ref-type name="Journal Article"&gt;17&lt;/ref-type&gt;&lt;contributors&gt;&lt;authors&gt;&lt;author&gt;Zou, P.&lt;/author&gt;&lt;author&gt;Yu, Y.&lt;/author&gt;&lt;author&gt;Zheng, N.&lt;/author&gt;&lt;author&gt;Yang, Y.&lt;/author&gt;&lt;author&gt;Paholak, H. J.&lt;/author&gt;&lt;author&gt;Yu, L. X.&lt;/author&gt;&lt;author&gt;Sun, D.&lt;/author&gt;&lt;/authors&gt;&lt;/contributors&gt;&lt;auth-address&gt;Department of Pharmaceutical Sciences, College of Pharmacy, University of Michigan, 428 Church Street, Ann Arbor, Michigan 48109, USA.&lt;/auth-address&gt;&lt;titles&gt;&lt;title&gt;Applications of human pharmacokinetic prediction in first-in-human dose estimation&lt;/title&gt;&lt;secondary-title&gt;AAPS J&lt;/secondary-title&gt;&lt;/titles&gt;&lt;periodical&gt;&lt;full-title&gt;AAPS J&lt;/full-title&gt;&lt;/periodical&gt;&lt;pages&gt;262-81&lt;/pages&gt;&lt;volume&gt;14&lt;/volume&gt;&lt;number&gt;2&lt;/number&gt;&lt;edition&gt;2012/03/13&lt;/edition&gt;&lt;keywords&gt;&lt;keyword&gt;Animals&lt;/keyword&gt;&lt;keyword&gt;Dose-Response Relationship, Drug&lt;/keyword&gt;&lt;keyword&gt;Forecasting&lt;/keyword&gt;&lt;keyword&gt;Humans&lt;/keyword&gt;&lt;keyword&gt;Metabolic Clearance Rate/drug effects/physiology&lt;/keyword&gt;&lt;keyword&gt;Pharmaceutical Preparations/*administration &amp;amp; dosage/*metabolism&lt;/keyword&gt;&lt;keyword&gt;Protein Binding/physiology&lt;/keyword&gt;&lt;keyword&gt;Species Specificity&lt;/keyword&gt;&lt;keyword&gt;Tissue Distribution/drug effects/physiology&lt;/keyword&gt;&lt;/keywords&gt;&lt;dates&gt;&lt;year&gt;2012&lt;/year&gt;&lt;pub-dates&gt;&lt;date&gt;Jun&lt;/date&gt;&lt;/pub-dates&gt;&lt;/dates&gt;&lt;isbn&gt;1550-7416 (Electronic)&amp;#xD;1550-7416 (Linking)&lt;/isbn&gt;&lt;accession-num&gt;22407287&lt;/accession-num&gt;&lt;urls&gt;&lt;related-urls&gt;&lt;url&gt;https://www.ncbi.nlm.nih.gov/pubmed/22407287&lt;/url&gt;&lt;/related-urls&gt;&lt;/urls&gt;&lt;custom2&gt;PMC3326168&lt;/custom2&gt;&lt;electronic-resource-num&gt;10.1208/s12248-012-9332-y&lt;/electronic-resource-num&gt;&lt;/record&gt;&lt;/Cite&gt;&lt;/EndNote&gt;</w:instrText>
      </w:r>
      <w:r w:rsidRPr="00A90D7F">
        <w:rPr>
          <w:rFonts w:eastAsiaTheme="minorHAnsi"/>
          <w:szCs w:val="20"/>
          <w:vertAlign w:val="superscript"/>
        </w:rPr>
        <w:fldChar w:fldCharType="separate"/>
      </w:r>
      <w:r w:rsidRPr="00A90D7F">
        <w:rPr>
          <w:rFonts w:eastAsiaTheme="minorHAnsi"/>
          <w:noProof/>
          <w:szCs w:val="20"/>
          <w:vertAlign w:val="superscript"/>
        </w:rPr>
        <w:t>[2]</w:t>
      </w:r>
      <w:r w:rsidRPr="00A90D7F">
        <w:rPr>
          <w:rFonts w:eastAsiaTheme="minorHAnsi"/>
          <w:szCs w:val="20"/>
          <w:vertAlign w:val="superscript"/>
        </w:rPr>
        <w:fldChar w:fldCharType="end"/>
      </w:r>
      <w:r w:rsidRPr="00B56956">
        <w:rPr>
          <w:rFonts w:eastAsiaTheme="minorHAnsi"/>
          <w:szCs w:val="20"/>
        </w:rPr>
        <w:t xml:space="preserve"> </w:t>
      </w:r>
      <w:r w:rsidR="00DD32A5" w:rsidRPr="00DD32A5">
        <w:rPr>
          <w:rFonts w:eastAsiaTheme="minorHAnsi"/>
          <w:szCs w:val="20"/>
        </w:rPr>
        <w:t xml:space="preserve">Estimate the </w:t>
      </w:r>
      <w:r w:rsidR="00DD32A5" w:rsidRPr="00D93B7F">
        <w:rPr>
          <w:rFonts w:eastAsiaTheme="minorHAnsi"/>
          <w:i/>
          <w:szCs w:val="20"/>
        </w:rPr>
        <w:t>in vitro</w:t>
      </w:r>
      <w:r w:rsidR="00DD32A5" w:rsidRPr="00DD32A5">
        <w:rPr>
          <w:rFonts w:eastAsiaTheme="minorHAnsi"/>
          <w:szCs w:val="20"/>
        </w:rPr>
        <w:t xml:space="preserve"> intrinsic hepatic clearance based on V</w:t>
      </w:r>
      <w:r w:rsidR="00DD32A5" w:rsidRPr="00D93B7F">
        <w:rPr>
          <w:rFonts w:eastAsiaTheme="minorHAnsi"/>
          <w:szCs w:val="20"/>
          <w:vertAlign w:val="subscript"/>
        </w:rPr>
        <w:t>max</w:t>
      </w:r>
      <w:r w:rsidR="00DD32A5" w:rsidRPr="00DD32A5">
        <w:rPr>
          <w:rFonts w:eastAsiaTheme="minorHAnsi"/>
          <w:szCs w:val="20"/>
        </w:rPr>
        <w:t xml:space="preserve"> and K</w:t>
      </w:r>
      <w:r w:rsidR="00DD32A5" w:rsidRPr="00D93B7F">
        <w:rPr>
          <w:rFonts w:eastAsiaTheme="minorHAnsi"/>
          <w:szCs w:val="20"/>
          <w:vertAlign w:val="subscript"/>
        </w:rPr>
        <w:t>m</w:t>
      </w:r>
      <w:r w:rsidR="00DD32A5" w:rsidRPr="00DD32A5">
        <w:rPr>
          <w:rFonts w:eastAsiaTheme="minorHAnsi"/>
          <w:szCs w:val="20"/>
        </w:rPr>
        <w:t xml:space="preserve">, or half-life of drug disappearance in </w:t>
      </w:r>
      <w:r w:rsidR="00DD32A5" w:rsidRPr="00D93B7F">
        <w:rPr>
          <w:rFonts w:eastAsiaTheme="minorHAnsi"/>
          <w:i/>
          <w:szCs w:val="20"/>
        </w:rPr>
        <w:t>in vitro</w:t>
      </w:r>
      <w:r w:rsidR="00DD32A5" w:rsidRPr="00DD32A5">
        <w:rPr>
          <w:rFonts w:eastAsiaTheme="minorHAnsi"/>
          <w:szCs w:val="20"/>
        </w:rPr>
        <w:t xml:space="preserve"> metabolism studies.</w:t>
      </w:r>
      <w:r w:rsidR="00D93B7F" w:rsidRPr="00D93B7F">
        <w:rPr>
          <w:rFonts w:asciiTheme="minorHAnsi" w:eastAsiaTheme="minorEastAsia" w:hAnsiTheme="minorHAnsi" w:cstheme="minorBidi"/>
        </w:rPr>
        <w:t xml:space="preserve"> </w:t>
      </w:r>
      <w:r w:rsidR="00D93B7F" w:rsidRPr="00D93B7F">
        <w:rPr>
          <w:rFonts w:eastAsiaTheme="minorHAnsi"/>
          <w:szCs w:val="20"/>
        </w:rPr>
        <w:t xml:space="preserve">Extrapolate </w:t>
      </w:r>
      <w:proofErr w:type="spellStart"/>
      <w:r w:rsidR="00D93B7F" w:rsidRPr="00D93B7F">
        <w:rPr>
          <w:rFonts w:eastAsiaTheme="minorHAnsi"/>
          <w:szCs w:val="20"/>
        </w:rPr>
        <w:t>CL</w:t>
      </w:r>
      <w:r w:rsidR="00D93B7F" w:rsidRPr="00D93B7F">
        <w:rPr>
          <w:rFonts w:eastAsiaTheme="minorHAnsi"/>
          <w:szCs w:val="20"/>
          <w:vertAlign w:val="subscript"/>
        </w:rPr>
        <w:t>int</w:t>
      </w:r>
      <w:proofErr w:type="spellEnd"/>
      <w:r w:rsidR="00D93B7F" w:rsidRPr="00D93B7F">
        <w:rPr>
          <w:rFonts w:eastAsiaTheme="minorHAnsi"/>
          <w:szCs w:val="20"/>
        </w:rPr>
        <w:t xml:space="preserve">, </w:t>
      </w:r>
      <w:r w:rsidR="00D93B7F" w:rsidRPr="00732225">
        <w:rPr>
          <w:rFonts w:eastAsiaTheme="minorHAnsi"/>
          <w:i/>
          <w:szCs w:val="20"/>
        </w:rPr>
        <w:t>in vitro</w:t>
      </w:r>
      <w:r w:rsidR="00D93B7F" w:rsidRPr="00D93B7F">
        <w:rPr>
          <w:rFonts w:eastAsiaTheme="minorHAnsi"/>
          <w:szCs w:val="20"/>
        </w:rPr>
        <w:t xml:space="preserve"> to </w:t>
      </w:r>
      <w:r w:rsidR="00D93B7F" w:rsidRPr="00732225">
        <w:rPr>
          <w:rFonts w:eastAsiaTheme="minorHAnsi"/>
          <w:i/>
          <w:szCs w:val="20"/>
        </w:rPr>
        <w:t>in vivo</w:t>
      </w:r>
      <w:r w:rsidR="00D93B7F" w:rsidRPr="00D93B7F">
        <w:rPr>
          <w:rFonts w:eastAsiaTheme="minorHAnsi"/>
          <w:szCs w:val="20"/>
        </w:rPr>
        <w:t xml:space="preserve"> intrinsic hepatic clearance with proper scaling factors.</w:t>
      </w:r>
      <w:r w:rsidR="00DD32A5" w:rsidRPr="00DD32A5">
        <w:rPr>
          <w:rFonts w:eastAsiaTheme="minorHAnsi"/>
          <w:szCs w:val="20"/>
        </w:rPr>
        <w:t xml:space="preserve"> </w:t>
      </w:r>
      <w:r w:rsidR="00D93B7F" w:rsidRPr="00D93B7F">
        <w:rPr>
          <w:rFonts w:eastAsiaTheme="minorHAnsi"/>
          <w:szCs w:val="20"/>
        </w:rPr>
        <w:t xml:space="preserve">Calculate in vivo </w:t>
      </w:r>
      <w:proofErr w:type="spellStart"/>
      <w:r w:rsidR="00D93B7F" w:rsidRPr="00D93B7F">
        <w:rPr>
          <w:rFonts w:eastAsiaTheme="minorHAnsi"/>
          <w:szCs w:val="20"/>
        </w:rPr>
        <w:t>CL</w:t>
      </w:r>
      <w:r w:rsidR="00D93B7F" w:rsidRPr="00732225">
        <w:rPr>
          <w:rFonts w:eastAsiaTheme="minorHAnsi"/>
          <w:szCs w:val="20"/>
          <w:vertAlign w:val="subscript"/>
        </w:rPr>
        <w:t>h</w:t>
      </w:r>
      <w:proofErr w:type="spellEnd"/>
      <w:r w:rsidR="00D93B7F" w:rsidRPr="00D93B7F">
        <w:rPr>
          <w:rFonts w:eastAsiaTheme="minorHAnsi"/>
          <w:szCs w:val="20"/>
        </w:rPr>
        <w:t xml:space="preserve">, according to hepatic clearance models with estimates of </w:t>
      </w:r>
      <w:proofErr w:type="spellStart"/>
      <w:proofErr w:type="gramStart"/>
      <w:r w:rsidR="00D93B7F" w:rsidRPr="00D93B7F">
        <w:rPr>
          <w:rFonts w:eastAsiaTheme="minorHAnsi"/>
          <w:szCs w:val="20"/>
        </w:rPr>
        <w:t>CL</w:t>
      </w:r>
      <w:r w:rsidR="00D93B7F" w:rsidRPr="00D93B7F">
        <w:rPr>
          <w:rFonts w:eastAsiaTheme="minorHAnsi"/>
          <w:szCs w:val="20"/>
          <w:vertAlign w:val="subscript"/>
        </w:rPr>
        <w:t>int</w:t>
      </w:r>
      <w:r w:rsidR="00D93B7F" w:rsidRPr="00D93B7F">
        <w:rPr>
          <w:rFonts w:eastAsiaTheme="minorHAnsi"/>
          <w:szCs w:val="20"/>
        </w:rPr>
        <w:t>,</w:t>
      </w:r>
      <w:r w:rsidR="00D93B7F" w:rsidRPr="00D93B7F">
        <w:rPr>
          <w:rFonts w:eastAsiaTheme="minorHAnsi"/>
          <w:szCs w:val="20"/>
          <w:vertAlign w:val="subscript"/>
        </w:rPr>
        <w:t>h</w:t>
      </w:r>
      <w:proofErr w:type="spellEnd"/>
      <w:proofErr w:type="gramEnd"/>
      <w:r w:rsidR="00D93B7F" w:rsidRPr="00D93B7F">
        <w:rPr>
          <w:rFonts w:eastAsiaTheme="minorHAnsi"/>
          <w:szCs w:val="20"/>
        </w:rPr>
        <w:t xml:space="preserve">, </w:t>
      </w:r>
      <w:proofErr w:type="spellStart"/>
      <w:r w:rsidR="00D93B7F" w:rsidRPr="00D93B7F">
        <w:rPr>
          <w:rFonts w:eastAsiaTheme="minorHAnsi"/>
          <w:szCs w:val="20"/>
        </w:rPr>
        <w:t>Q</w:t>
      </w:r>
      <w:r w:rsidR="00D93B7F" w:rsidRPr="00D93B7F">
        <w:rPr>
          <w:rFonts w:eastAsiaTheme="minorHAnsi"/>
          <w:szCs w:val="20"/>
          <w:vertAlign w:val="subscript"/>
        </w:rPr>
        <w:t>h</w:t>
      </w:r>
      <w:proofErr w:type="spellEnd"/>
      <w:r w:rsidR="00D93B7F" w:rsidRPr="00D93B7F">
        <w:rPr>
          <w:rFonts w:eastAsiaTheme="minorHAnsi"/>
          <w:szCs w:val="20"/>
        </w:rPr>
        <w:t xml:space="preserve">, and </w:t>
      </w:r>
      <w:proofErr w:type="spellStart"/>
      <w:r w:rsidR="00D93B7F" w:rsidRPr="00D93B7F">
        <w:rPr>
          <w:rFonts w:eastAsiaTheme="minorHAnsi"/>
          <w:szCs w:val="20"/>
        </w:rPr>
        <w:t>f</w:t>
      </w:r>
      <w:r w:rsidR="00D93B7F" w:rsidRPr="00D93B7F">
        <w:rPr>
          <w:rFonts w:eastAsiaTheme="minorHAnsi"/>
          <w:szCs w:val="20"/>
          <w:vertAlign w:val="subscript"/>
        </w:rPr>
        <w:t>u</w:t>
      </w:r>
      <w:proofErr w:type="spellEnd"/>
      <w:r w:rsidR="00D93B7F">
        <w:rPr>
          <w:rFonts w:eastAsiaTheme="minorHAnsi"/>
          <w:szCs w:val="20"/>
        </w:rPr>
        <w:t>.</w:t>
      </w:r>
      <w:r w:rsidR="00D93B7F" w:rsidRPr="00D93B7F">
        <w:rPr>
          <w:rFonts w:eastAsiaTheme="minorHAnsi"/>
          <w:szCs w:val="20"/>
        </w:rPr>
        <w:t xml:space="preserve"> </w:t>
      </w:r>
    </w:p>
    <w:p w:rsidR="004E50FC" w:rsidRDefault="00046723" w:rsidP="004E50FC">
      <w:pPr>
        <w:pStyle w:val="2"/>
        <w:ind w:firstLineChars="50" w:firstLine="100"/>
        <w:rPr>
          <w:rFonts w:eastAsiaTheme="minorHAnsi"/>
          <w:szCs w:val="20"/>
        </w:rPr>
      </w:pPr>
      <w:r w:rsidRPr="00B56956">
        <w:rPr>
          <w:rFonts w:eastAsiaTheme="minorHAnsi"/>
          <w:szCs w:val="20"/>
        </w:rPr>
        <w:t xml:space="preserve">The functional equations </w:t>
      </w:r>
      <w:r>
        <w:rPr>
          <w:rFonts w:eastAsiaTheme="minorHAnsi"/>
          <w:szCs w:val="20"/>
        </w:rPr>
        <w:t xml:space="preserve">for hepatic clearance (e.g., well-stirred model, parallel tube mode and dispersion model) </w:t>
      </w:r>
      <w:r w:rsidRPr="00B56956">
        <w:rPr>
          <w:rFonts w:eastAsiaTheme="minorHAnsi"/>
          <w:szCs w:val="20"/>
        </w:rPr>
        <w:t>were implemented to be able to calculate the mathematical equations with R program.</w:t>
      </w:r>
      <w:r>
        <w:rPr>
          <w:rFonts w:eastAsiaTheme="minorHAnsi"/>
          <w:szCs w:val="20"/>
        </w:rPr>
        <w:t xml:space="preserve"> </w:t>
      </w:r>
    </w:p>
    <w:p w:rsidR="00046723" w:rsidRPr="004E50FC" w:rsidRDefault="00046723" w:rsidP="004E50FC">
      <w:pPr>
        <w:pStyle w:val="2"/>
        <w:ind w:firstLineChars="100" w:firstLine="200"/>
        <w:rPr>
          <w:rFonts w:eastAsiaTheme="minorHAnsi" w:cs="Calibri" w:hint="eastAsia"/>
          <w:szCs w:val="20"/>
        </w:rPr>
      </w:pPr>
      <w:bookmarkStart w:id="0" w:name="_GoBack"/>
      <w:bookmarkEnd w:id="0"/>
      <w:r>
        <w:rPr>
          <w:rFonts w:eastAsiaTheme="minorHAnsi" w:cs="Calibri"/>
          <w:szCs w:val="20"/>
        </w:rPr>
        <w:t>Consequently, u</w:t>
      </w:r>
      <w:r w:rsidRPr="00B56956">
        <w:rPr>
          <w:rFonts w:eastAsiaTheme="minorHAnsi" w:cs="Calibri"/>
          <w:szCs w:val="20"/>
        </w:rPr>
        <w:t xml:space="preserve">sing R Shiny, several approaches were applied at once using the parameters obtained from </w:t>
      </w:r>
      <w:r w:rsidRPr="00806313">
        <w:rPr>
          <w:rFonts w:eastAsiaTheme="minorHAnsi" w:cs="Calibri"/>
          <w:i/>
          <w:szCs w:val="20"/>
        </w:rPr>
        <w:t>in vitro</w:t>
      </w:r>
      <w:r w:rsidRPr="00B56956">
        <w:rPr>
          <w:rFonts w:eastAsiaTheme="minorHAnsi" w:cs="Calibri"/>
          <w:szCs w:val="20"/>
        </w:rPr>
        <w:t xml:space="preserve"> to implement </w:t>
      </w:r>
      <w:r w:rsidRPr="00806313">
        <w:rPr>
          <w:rFonts w:eastAsiaTheme="minorHAnsi" w:cs="Calibri"/>
          <w:i/>
          <w:szCs w:val="20"/>
        </w:rPr>
        <w:t>in</w:t>
      </w:r>
      <w:r>
        <w:rPr>
          <w:rFonts w:eastAsiaTheme="minorHAnsi" w:cs="Calibri"/>
          <w:i/>
          <w:szCs w:val="20"/>
        </w:rPr>
        <w:t xml:space="preserve"> </w:t>
      </w:r>
      <w:r w:rsidRPr="00806313">
        <w:rPr>
          <w:rFonts w:eastAsiaTheme="minorHAnsi" w:cs="Calibri"/>
          <w:i/>
          <w:szCs w:val="20"/>
        </w:rPr>
        <w:t>vivo</w:t>
      </w:r>
      <w:r w:rsidRPr="00B56956">
        <w:rPr>
          <w:rFonts w:eastAsiaTheme="minorHAnsi" w:cs="Calibri"/>
          <w:szCs w:val="20"/>
        </w:rPr>
        <w:t xml:space="preserve"> hepatic clearance for each approach in comparison.</w:t>
      </w:r>
      <w:r>
        <w:rPr>
          <w:rFonts w:eastAsiaTheme="minorHAnsi" w:cs="Calibri"/>
          <w:szCs w:val="20"/>
        </w:rPr>
        <w:t xml:space="preserve"> </w:t>
      </w:r>
      <w:r w:rsidRPr="00B56956">
        <w:rPr>
          <w:rFonts w:eastAsiaTheme="minorHAnsi"/>
          <w:szCs w:val="20"/>
        </w:rPr>
        <w:t>The evaluation was conducted for the reliability of the program</w:t>
      </w:r>
      <w:r>
        <w:rPr>
          <w:rFonts w:eastAsiaTheme="minorHAnsi"/>
          <w:szCs w:val="20"/>
        </w:rPr>
        <w:t xml:space="preserve"> through comparison </w:t>
      </w:r>
      <w:r w:rsidRPr="00B56956">
        <w:rPr>
          <w:rFonts w:eastAsiaTheme="minorHAnsi"/>
          <w:szCs w:val="20"/>
        </w:rPr>
        <w:t>with the drug-specific hepatic clearance by drug obtained from the literature.</w:t>
      </w:r>
      <w:r w:rsidRPr="00425CBB">
        <w:rPr>
          <w:rFonts w:eastAsiaTheme="minorHAnsi"/>
          <w:szCs w:val="20"/>
          <w:vertAlign w:val="superscript"/>
        </w:rPr>
        <w:fldChar w:fldCharType="begin"/>
      </w:r>
      <w:r w:rsidRPr="00425CBB">
        <w:rPr>
          <w:rFonts w:eastAsiaTheme="minorHAnsi"/>
          <w:szCs w:val="20"/>
          <w:vertAlign w:val="superscript"/>
        </w:rPr>
        <w:instrText xml:space="preserve"> ADDIN EN.CITE &lt;EndNote&gt;&lt;Cite&gt;&lt;Author&gt;Ito&lt;/Author&gt;&lt;Year&gt;2004&lt;/Year&gt;&lt;RecNum&gt;55&lt;/RecNum&gt;&lt;DisplayText&gt;[3]&lt;/DisplayText&gt;&lt;record&gt;&lt;rec-number&gt;55&lt;/rec-number&gt;&lt;foreign-keys&gt;&lt;key app="EN" db-id="szwd5t0adfdfz0ewxr6xxe01sxp5sv5axe2x" timestamp="1582856175"&gt;55&lt;/key&gt;&lt;/foreign-keys&gt;&lt;ref-type name="Journal Article"&gt;17&lt;/ref-type&gt;&lt;contributors&gt;&lt;authors&gt;&lt;author&gt;Ito, K.&lt;/author&gt;&lt;author&gt;Houston, J. B.&lt;/author&gt;&lt;/authors&gt;&lt;/contributors&gt;&lt;auth-address&gt;School of Pharmacy and Pharmaceutical Sciences, University of Manchester, Manchester M13 9PL, UK.&lt;/auth-address&gt;&lt;titles&gt;&lt;title&gt;Comparison of the use of liver models for predicting drug clearance using in vitro kinetic data from hepatic microsomes and isolated hepatocytes&lt;/title&gt;&lt;secondary-title&gt;Pharm Res&lt;/secondary-title&gt;&lt;/titles&gt;&lt;periodical&gt;&lt;full-title&gt;Pharm Res&lt;/full-title&gt;&lt;/periodical&gt;&lt;pages&gt;785-92&lt;/pages&gt;&lt;volume&gt;21&lt;/volume&gt;&lt;number&gt;5&lt;/number&gt;&lt;edition&gt;2004/06/08&lt;/edition&gt;&lt;keywords&gt;&lt;keyword&gt;Algorithms&lt;/keyword&gt;&lt;keyword&gt;Animals&lt;/keyword&gt;&lt;keyword&gt;Biological Availability&lt;/keyword&gt;&lt;keyword&gt;Cell Separation&lt;/keyword&gt;&lt;keyword&gt;Hepatocytes/*metabolism&lt;/keyword&gt;&lt;keyword&gt;Humans&lt;/keyword&gt;&lt;keyword&gt;Liver/*metabolism&lt;/keyword&gt;&lt;keyword&gt;Microsomes, Liver/*metabolism&lt;/keyword&gt;&lt;keyword&gt;Models, Biological&lt;/keyword&gt;&lt;keyword&gt;Pharmaceutical Preparations/*metabolism&lt;/keyword&gt;&lt;keyword&gt;*Pharmacokinetics&lt;/keyword&gt;&lt;keyword&gt;Predictive Value of Tests&lt;/keyword&gt;&lt;keyword&gt;Rats&lt;/keyword&gt;&lt;/keywords&gt;&lt;dates&gt;&lt;year&gt;2004&lt;/year&gt;&lt;pub-dates&gt;&lt;date&gt;May&lt;/date&gt;&lt;/pub-dates&gt;&lt;/dates&gt;&lt;isbn&gt;0724-8741 (Print)&amp;#xD;0724-8741 (Linking)&lt;/isbn&gt;&lt;accession-num&gt;15180335&lt;/accession-num&gt;&lt;urls&gt;&lt;related-urls&gt;&lt;url&gt;https://www.ncbi.nlm.nih.gov/pubmed/15180335&lt;/url&gt;&lt;/related-urls&gt;&lt;/urls&gt;&lt;electronic-resource-num&gt;10.1023/b:pham.0000026429.12114.7d&lt;/electronic-resource-num&gt;&lt;/record&gt;&lt;/Cite&gt;&lt;/EndNote&gt;</w:instrText>
      </w:r>
      <w:r w:rsidRPr="00425CBB">
        <w:rPr>
          <w:rFonts w:eastAsiaTheme="minorHAnsi"/>
          <w:szCs w:val="20"/>
          <w:vertAlign w:val="superscript"/>
        </w:rPr>
        <w:fldChar w:fldCharType="separate"/>
      </w:r>
      <w:r w:rsidRPr="00425CBB">
        <w:rPr>
          <w:rFonts w:eastAsiaTheme="minorHAnsi"/>
          <w:noProof/>
          <w:szCs w:val="20"/>
          <w:vertAlign w:val="superscript"/>
        </w:rPr>
        <w:t>[3]</w:t>
      </w:r>
      <w:r w:rsidRPr="00425CBB">
        <w:rPr>
          <w:rFonts w:eastAsiaTheme="minorHAnsi"/>
          <w:szCs w:val="20"/>
          <w:vertAlign w:val="superscript"/>
        </w:rPr>
        <w:fldChar w:fldCharType="end"/>
      </w:r>
    </w:p>
    <w:p w:rsidR="00046723" w:rsidRDefault="00046723" w:rsidP="00046723">
      <w:pPr>
        <w:rPr>
          <w:rFonts w:hint="eastAsia"/>
          <w:b/>
        </w:rPr>
      </w:pPr>
      <w:r>
        <w:rPr>
          <w:rFonts w:hint="eastAsia"/>
          <w:b/>
        </w:rPr>
        <w:t>R</w:t>
      </w:r>
      <w:r>
        <w:rPr>
          <w:b/>
        </w:rPr>
        <w:t>esults:</w:t>
      </w:r>
      <w:r>
        <w:rPr>
          <w:rFonts w:hint="eastAsia"/>
          <w:b/>
        </w:rPr>
        <w:t xml:space="preserve"> </w:t>
      </w:r>
      <w:r w:rsidRPr="00B56956">
        <w:rPr>
          <w:rFonts w:eastAsiaTheme="minorHAnsi"/>
          <w:szCs w:val="20"/>
        </w:rPr>
        <w:t>There was no significant difference between the values of hepatic clearance obtained from references and the outcomes produced from the program. The results obtained were applied to each of the comparative approaches to intuitively represent all the results for each approach</w:t>
      </w:r>
      <w:r>
        <w:rPr>
          <w:rFonts w:eastAsiaTheme="minorHAnsi" w:hint="eastAsia"/>
          <w:szCs w:val="20"/>
        </w:rPr>
        <w:t>.</w:t>
      </w:r>
      <w:r>
        <w:rPr>
          <w:rFonts w:eastAsiaTheme="minorHAnsi"/>
          <w:szCs w:val="20"/>
        </w:rPr>
        <w:t xml:space="preserve"> </w:t>
      </w:r>
      <w:r w:rsidRPr="00466B4D">
        <w:t>User-friendly interface was made on open-platform of R Shiny.</w:t>
      </w:r>
    </w:p>
    <w:p w:rsidR="00046723" w:rsidRPr="00466B4D" w:rsidRDefault="00046723" w:rsidP="00046723">
      <w:r>
        <w:rPr>
          <w:b/>
        </w:rPr>
        <w:t>Conclusions:</w:t>
      </w:r>
      <w:r w:rsidRPr="00B56956">
        <w:t xml:space="preserve"> The program performed validation well. This is likely to be a tool for many researchers to obtain </w:t>
      </w:r>
      <w:r w:rsidRPr="00806313">
        <w:rPr>
          <w:i/>
        </w:rPr>
        <w:t>in</w:t>
      </w:r>
      <w:r>
        <w:rPr>
          <w:i/>
        </w:rPr>
        <w:t xml:space="preserve"> </w:t>
      </w:r>
      <w:r w:rsidRPr="00806313">
        <w:rPr>
          <w:i/>
        </w:rPr>
        <w:t>vivo</w:t>
      </w:r>
      <w:r w:rsidRPr="00B56956">
        <w:t xml:space="preserve"> hepatic clearance through </w:t>
      </w:r>
      <w:r w:rsidRPr="00806313">
        <w:rPr>
          <w:i/>
        </w:rPr>
        <w:t>in</w:t>
      </w:r>
      <w:r>
        <w:rPr>
          <w:i/>
        </w:rPr>
        <w:t xml:space="preserve"> </w:t>
      </w:r>
      <w:r w:rsidRPr="00806313">
        <w:rPr>
          <w:i/>
        </w:rPr>
        <w:t>vitro</w:t>
      </w:r>
      <w:r w:rsidRPr="00B56956">
        <w:t>.</w:t>
      </w:r>
      <w:r>
        <w:t xml:space="preserve"> </w:t>
      </w:r>
      <w:r w:rsidRPr="00466B4D">
        <w:t>R shiny package was firmly built between various R packages, many possibilities of application is secured.</w:t>
      </w:r>
    </w:p>
    <w:p w:rsidR="00046723" w:rsidRDefault="00D93B7F" w:rsidP="00046723">
      <w:r w:rsidRPr="00D93B7F">
        <w:rPr>
          <w:b/>
        </w:rPr>
        <w:t>Acknowledgement</w:t>
      </w:r>
      <w:r w:rsidRPr="00D93B7F">
        <w:t xml:space="preserve">: This research was supported by a grant (18182MFDS405 and 19182MFDS427) </w:t>
      </w:r>
      <w:r w:rsidRPr="00D93B7F">
        <w:lastRenderedPageBreak/>
        <w:t>from Ministry of Food and Drug Safety in 2018 and 2019, respectively</w:t>
      </w:r>
      <w:r w:rsidR="00732225">
        <w:t>.</w:t>
      </w:r>
    </w:p>
    <w:p w:rsidR="00046723" w:rsidRPr="00466B4D" w:rsidRDefault="00046723" w:rsidP="00046723"/>
    <w:p w:rsidR="00046723" w:rsidRPr="009E6E8D" w:rsidRDefault="00046723" w:rsidP="00046723">
      <w:pPr>
        <w:rPr>
          <w:b/>
        </w:rPr>
      </w:pPr>
      <w:r>
        <w:rPr>
          <w:rFonts w:hint="eastAsia"/>
          <w:b/>
        </w:rPr>
        <w:t>R</w:t>
      </w:r>
      <w:r>
        <w:rPr>
          <w:b/>
        </w:rPr>
        <w:t xml:space="preserve">eferences: </w:t>
      </w:r>
    </w:p>
    <w:p w:rsidR="00046723" w:rsidRPr="00425CBB" w:rsidRDefault="00046723" w:rsidP="00046723">
      <w:pPr>
        <w:pStyle w:val="EndNoteBibliography"/>
        <w:spacing w:after="0"/>
        <w:ind w:left="720" w:hanging="720"/>
      </w:pPr>
      <w:r>
        <w:fldChar w:fldCharType="begin"/>
      </w:r>
      <w:r>
        <w:instrText xml:space="preserve"> ADDIN EN.REFLIST </w:instrText>
      </w:r>
      <w:r>
        <w:fldChar w:fldCharType="separate"/>
      </w:r>
      <w:r w:rsidRPr="00425CBB">
        <w:t>1.</w:t>
      </w:r>
      <w:r w:rsidRPr="00425CBB">
        <w:tab/>
        <w:t xml:space="preserve">Khojasteh, S.C., H. Wong, and C.E. Hop, </w:t>
      </w:r>
      <w:r w:rsidRPr="00425CBB">
        <w:rPr>
          <w:i/>
        </w:rPr>
        <w:t>Drug metabolism and pharmacokinetics quick guide</w:t>
      </w:r>
      <w:r w:rsidRPr="00425CBB">
        <w:t>. 2011: Springer Science &amp; Business Media.</w:t>
      </w:r>
    </w:p>
    <w:p w:rsidR="00046723" w:rsidRPr="00425CBB" w:rsidRDefault="00046723" w:rsidP="00046723">
      <w:pPr>
        <w:pStyle w:val="EndNoteBibliography"/>
        <w:spacing w:after="0"/>
        <w:ind w:left="720" w:hanging="720"/>
      </w:pPr>
      <w:r w:rsidRPr="00425CBB">
        <w:t>2.</w:t>
      </w:r>
      <w:r w:rsidRPr="00425CBB">
        <w:tab/>
        <w:t xml:space="preserve">Zou, P., et al., </w:t>
      </w:r>
      <w:r w:rsidRPr="00425CBB">
        <w:rPr>
          <w:i/>
        </w:rPr>
        <w:t>Applications of human pharmacokinetic prediction in first-in-human dose estimation.</w:t>
      </w:r>
      <w:r w:rsidRPr="00425CBB">
        <w:t xml:space="preserve"> AAPS J, 2012. </w:t>
      </w:r>
      <w:r w:rsidRPr="00425CBB">
        <w:rPr>
          <w:b/>
        </w:rPr>
        <w:t>14</w:t>
      </w:r>
      <w:r w:rsidRPr="00425CBB">
        <w:t>(2): p. 262-81.</w:t>
      </w:r>
    </w:p>
    <w:p w:rsidR="00046723" w:rsidRPr="00425CBB" w:rsidRDefault="00046723" w:rsidP="00046723">
      <w:pPr>
        <w:pStyle w:val="EndNoteBibliography"/>
        <w:ind w:left="720" w:hanging="720"/>
      </w:pPr>
      <w:r w:rsidRPr="00425CBB">
        <w:t>3.</w:t>
      </w:r>
      <w:r w:rsidRPr="00425CBB">
        <w:tab/>
        <w:t xml:space="preserve">Ito, K. and J.B. Houston, </w:t>
      </w:r>
      <w:r w:rsidRPr="00425CBB">
        <w:rPr>
          <w:i/>
        </w:rPr>
        <w:t>Comparison of the use of liver models for predicting drug clearance using in vitro kinetic data from hepatic microsomes and isolated hepatocytes.</w:t>
      </w:r>
      <w:r w:rsidRPr="00425CBB">
        <w:t xml:space="preserve"> Pharm Res, 2004. </w:t>
      </w:r>
      <w:r w:rsidRPr="00425CBB">
        <w:rPr>
          <w:b/>
        </w:rPr>
        <w:t>21</w:t>
      </w:r>
      <w:r w:rsidRPr="00425CBB">
        <w:t>(5): p. 785-92.</w:t>
      </w:r>
    </w:p>
    <w:p w:rsidR="003A1989" w:rsidRDefault="00046723" w:rsidP="00046723">
      <w:r>
        <w:fldChar w:fldCharType="end"/>
      </w:r>
    </w:p>
    <w:sectPr w:rsidR="003A1989">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723"/>
    <w:rsid w:val="00046723"/>
    <w:rsid w:val="003A1989"/>
    <w:rsid w:val="004E50FC"/>
    <w:rsid w:val="00732225"/>
    <w:rsid w:val="00D93B7F"/>
    <w:rsid w:val="00DD32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DDA30"/>
  <w15:chartTrackingRefBased/>
  <w15:docId w15:val="{6422E10D-3C43-4C80-930D-F631AC82C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autoSpaceDE w:val="0"/>
      <w:autoSpaceDN w:val="0"/>
    </w:pPr>
  </w:style>
  <w:style w:type="paragraph" w:styleId="2">
    <w:name w:val="heading 2"/>
    <w:basedOn w:val="a"/>
    <w:next w:val="a"/>
    <w:link w:val="2Char"/>
    <w:uiPriority w:val="9"/>
    <w:unhideWhenUsed/>
    <w:qFormat/>
    <w:rsid w:val="00046723"/>
    <w:pPr>
      <w:keepNext/>
      <w:outlineLvl w:val="1"/>
    </w:pPr>
    <w:rPr>
      <w:rFonts w:asciiTheme="majorHAnsi" w:eastAsiaTheme="majorEastAsia" w:hAnsiTheme="majorHAnsi" w:cstheme="majorBidi"/>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제목 2 Char"/>
    <w:basedOn w:val="a0"/>
    <w:link w:val="2"/>
    <w:uiPriority w:val="9"/>
    <w:rsid w:val="00046723"/>
    <w:rPr>
      <w:rFonts w:asciiTheme="majorHAnsi" w:eastAsiaTheme="majorEastAsia" w:hAnsiTheme="majorHAnsi" w:cstheme="majorBidi"/>
    </w:rPr>
  </w:style>
  <w:style w:type="paragraph" w:customStyle="1" w:styleId="EndNoteBibliography">
    <w:name w:val="EndNote Bibliography"/>
    <w:basedOn w:val="a"/>
    <w:link w:val="EndNoteBibliographyChar"/>
    <w:rsid w:val="00046723"/>
    <w:pPr>
      <w:spacing w:line="240" w:lineRule="auto"/>
    </w:pPr>
    <w:rPr>
      <w:rFonts w:ascii="맑은 고딕" w:eastAsia="맑은 고딕" w:hAnsi="맑은 고딕"/>
      <w:noProof/>
    </w:rPr>
  </w:style>
  <w:style w:type="character" w:customStyle="1" w:styleId="EndNoteBibliographyChar">
    <w:name w:val="EndNote Bibliography Char"/>
    <w:basedOn w:val="a0"/>
    <w:link w:val="EndNoteBibliography"/>
    <w:rsid w:val="00046723"/>
    <w:rPr>
      <w:rFonts w:ascii="맑은 고딕" w:eastAsia="맑은 고딕" w:hAnsi="맑은 고딕"/>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12C150-6398-4023-9797-202903EE9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Pages>
  <Words>1405</Words>
  <Characters>8010</Characters>
  <Application>Microsoft Office Word</Application>
  <DocSecurity>0</DocSecurity>
  <Lines>66</Lines>
  <Paragraphs>18</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9397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 LEE</dc:creator>
  <cp:keywords/>
  <dc:description/>
  <cp:lastModifiedBy>CH LEE</cp:lastModifiedBy>
  <cp:revision>2</cp:revision>
  <dcterms:created xsi:type="dcterms:W3CDTF">2020-02-28T04:14:00Z</dcterms:created>
  <dcterms:modified xsi:type="dcterms:W3CDTF">2020-02-28T05:16:00Z</dcterms:modified>
</cp:coreProperties>
</file>